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96" w:rsidRPr="00E702F1" w:rsidRDefault="005E6BBE" w:rsidP="00C84C96">
      <w:pPr>
        <w:ind w:leftChars="100" w:left="420" w:hangingChars="100" w:hanging="210"/>
        <w:rPr>
          <w:rFonts w:ascii="ＤＦ特太ゴシック体" w:eastAsia="ＤＦ特太ゴシック体" w:hAnsi="ＤＦ特太ゴシック体"/>
          <w:szCs w:val="21"/>
        </w:rPr>
      </w:pPr>
      <w:r w:rsidRPr="0003027B">
        <w:rPr>
          <w:rFonts w:ascii="メイリオ" w:eastAsia="メイリオ" w:hAnsi="メイリオ"/>
          <w:noProof/>
        </w:rPr>
        <mc:AlternateContent>
          <mc:Choice Requires="wps">
            <w:drawing>
              <wp:anchor distT="45720" distB="45720" distL="114300" distR="114300" simplePos="0" relativeHeight="251663360" behindDoc="0" locked="0" layoutInCell="1" allowOverlap="1" wp14:anchorId="5207D07F" wp14:editId="10D67713">
                <wp:simplePos x="0" y="0"/>
                <wp:positionH relativeFrom="margin">
                  <wp:posOffset>-635</wp:posOffset>
                </wp:positionH>
                <wp:positionV relativeFrom="paragraph">
                  <wp:posOffset>5671820</wp:posOffset>
                </wp:positionV>
                <wp:extent cx="5437505" cy="3343275"/>
                <wp:effectExtent l="0" t="0" r="1079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3343275"/>
                        </a:xfrm>
                        <a:prstGeom prst="rect">
                          <a:avLst/>
                        </a:prstGeom>
                        <a:solidFill>
                          <a:srgbClr val="FFFFFF"/>
                        </a:solidFill>
                        <a:ln w="9525">
                          <a:solidFill>
                            <a:srgbClr val="000000"/>
                          </a:solidFill>
                          <a:miter lim="800000"/>
                          <a:headEnd/>
                          <a:tailEnd/>
                        </a:ln>
                      </wps:spPr>
                      <wps:txbx>
                        <w:txbxContent>
                          <w:p w:rsidR="00D0104E" w:rsidRPr="00E702F1" w:rsidRDefault="00D0104E" w:rsidP="00D0104E">
                            <w:pPr>
                              <w:widowControl/>
                              <w:jc w:val="left"/>
                              <w:rPr>
                                <w:rFonts w:ascii="ＤＦ特太ゴシック体" w:eastAsia="ＤＦ特太ゴシック体" w:hAnsi="ＤＦ特太ゴシック体" w:cs="ＭＳ Ｐゴシック"/>
                                <w:kern w:val="0"/>
                                <w:szCs w:val="21"/>
                                <w:u w:val="double"/>
                              </w:rPr>
                            </w:pPr>
                            <w:r w:rsidRPr="00E702F1">
                              <w:rPr>
                                <w:rFonts w:ascii="ＤＦ特太ゴシック体" w:eastAsia="ＤＦ特太ゴシック体" w:hAnsi="ＤＦ特太ゴシック体" w:cs="ＭＳ Ｐゴシック" w:hint="eastAsia"/>
                                <w:kern w:val="0"/>
                                <w:szCs w:val="21"/>
                                <w:u w:val="double"/>
                              </w:rPr>
                              <w:t>＊インフルエンザの出席停止期間の数え方</w:t>
                            </w:r>
                          </w:p>
                          <w:p w:rsidR="00D0104E" w:rsidRDefault="00D0104E" w:rsidP="00D0104E">
                            <w:pPr>
                              <w:rPr>
                                <w:rFonts w:ascii="HG丸ｺﾞｼｯｸM-PRO" w:eastAsia="HG丸ｺﾞｼｯｸM-PRO" w:hAnsi="HG丸ｺﾞｼｯｸM-PRO" w:cs="ＭＳ Ｐゴシック"/>
                                <w:kern w:val="0"/>
                                <w:szCs w:val="21"/>
                              </w:rPr>
                            </w:pPr>
                            <w:r w:rsidRPr="00B513DB">
                              <w:rPr>
                                <w:rFonts w:ascii="HG丸ｺﾞｼｯｸM-PRO" w:eastAsia="HG丸ｺﾞｼｯｸM-PRO" w:hAnsi="HG丸ｺﾞｼｯｸM-PRO" w:cs="ＭＳ Ｐゴシック" w:hint="eastAsia"/>
                                <w:kern w:val="0"/>
                                <w:szCs w:val="21"/>
                              </w:rPr>
                              <w:t>「発症した後5日を経過」については</w:t>
                            </w:r>
                            <w:r>
                              <w:rPr>
                                <w:rFonts w:ascii="HG丸ｺﾞｼｯｸM-PRO" w:eastAsia="HG丸ｺﾞｼｯｸM-PRO" w:hAnsi="HG丸ｺﾞｼｯｸM-PRO" w:cs="ＭＳ Ｐゴシック" w:hint="eastAsia"/>
                                <w:kern w:val="0"/>
                                <w:szCs w:val="21"/>
                              </w:rPr>
                              <w:t>，</w:t>
                            </w:r>
                            <w:r w:rsidRPr="00B513DB">
                              <w:rPr>
                                <w:rFonts w:ascii="HG丸ｺﾞｼｯｸM-PRO" w:eastAsia="HG丸ｺﾞｼｯｸM-PRO" w:hAnsi="HG丸ｺﾞｼｯｸM-PRO" w:cs="ＭＳ Ｐゴシック" w:hint="eastAsia"/>
                                <w:kern w:val="0"/>
                                <w:szCs w:val="21"/>
                              </w:rPr>
                              <w:t>症状が出た日を</w:t>
                            </w:r>
                            <w:r w:rsidR="00EC6F41">
                              <w:rPr>
                                <w:rFonts w:ascii="HG丸ｺﾞｼｯｸM-PRO" w:eastAsia="HG丸ｺﾞｼｯｸM-PRO" w:hAnsi="HG丸ｺﾞｼｯｸM-PRO" w:cs="ＭＳ Ｐゴシック" w:hint="eastAsia"/>
                                <w:kern w:val="0"/>
                                <w:szCs w:val="21"/>
                              </w:rPr>
                              <w:t>０</w:t>
                            </w:r>
                            <w:r w:rsidRPr="00B513DB">
                              <w:rPr>
                                <w:rFonts w:ascii="HG丸ｺﾞｼｯｸM-PRO" w:eastAsia="HG丸ｺﾞｼｯｸM-PRO" w:hAnsi="HG丸ｺﾞｼｯｸM-PRO" w:cs="ＭＳ Ｐゴシック" w:hint="eastAsia"/>
                                <w:kern w:val="0"/>
                                <w:szCs w:val="21"/>
                              </w:rPr>
                              <w:t>日目として数えます。</w:t>
                            </w:r>
                          </w:p>
                          <w:p w:rsidR="00D0104E" w:rsidRDefault="00D0104E" w:rsidP="00D0104E">
                            <w:pPr>
                              <w:jc w:val="center"/>
                            </w:pPr>
                            <w:r>
                              <w:rPr>
                                <w:rFonts w:ascii="メイリオ" w:eastAsia="メイリオ" w:hAnsi="メイリオ"/>
                                <w:noProof/>
                              </w:rPr>
                              <w:drawing>
                                <wp:inline distT="0" distB="0" distL="0" distR="0" wp14:anchorId="2DC4542A" wp14:editId="5FDD9BAF">
                                  <wp:extent cx="4532915" cy="2682979"/>
                                  <wp:effectExtent l="0" t="0" r="1270" b="3175"/>
                                  <wp:docPr id="12" name="図 12" descr="インフルエンザによる出席停止期間早見表（小学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インフルエンザによる出席停止期間早見表（小学生）"/>
                                          <pic:cNvPicPr>
                                            <a:picLocks noChangeAspect="1" noChangeArrowheads="1"/>
                                          </pic:cNvPicPr>
                                        </pic:nvPicPr>
                                        <pic:blipFill rotWithShape="1">
                                          <a:blip r:embed="rId6">
                                            <a:extLst>
                                              <a:ext uri="{28A0092B-C50C-407E-A947-70E740481C1C}">
                                                <a14:useLocalDpi xmlns:a14="http://schemas.microsoft.com/office/drawing/2010/main" val="0"/>
                                              </a:ext>
                                            </a:extLst>
                                          </a:blip>
                                          <a:srcRect t="10413"/>
                                          <a:stretch/>
                                        </pic:blipFill>
                                        <pic:spPr bwMode="auto">
                                          <a:xfrm>
                                            <a:off x="0" y="0"/>
                                            <a:ext cx="4547670" cy="269171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07D07F" id="_x0000_t202" coordsize="21600,21600" o:spt="202" path="m,l,21600r21600,l21600,xe">
                <v:stroke joinstyle="miter"/>
                <v:path gradientshapeok="t" o:connecttype="rect"/>
              </v:shapetype>
              <v:shape id="テキスト ボックス 2" o:spid="_x0000_s1026" type="#_x0000_t202" style="position:absolute;left:0;text-align:left;margin-left:-.05pt;margin-top:446.6pt;width:428.15pt;height:263.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">
                <v:textbox>
                  <w:txbxContent>
                    <w:p w:rsidR="00D0104E" w:rsidRPr="00E702F1" w:rsidRDefault="00D0104E" w:rsidP="00D0104E">
                      <w:pPr>
                        <w:widowControl/>
                        <w:jc w:val="left"/>
                        <w:rPr>
                          <w:rFonts w:ascii="ＤＦ特太ゴシック体" w:eastAsia="ＤＦ特太ゴシック体" w:hAnsi="ＤＦ特太ゴシック体" w:cs="ＭＳ Ｐゴシック"/>
                          <w:kern w:val="0"/>
                          <w:szCs w:val="21"/>
                          <w:u w:val="double"/>
                        </w:rPr>
                      </w:pPr>
                      <w:r w:rsidRPr="00E702F1">
                        <w:rPr>
                          <w:rFonts w:ascii="ＤＦ特太ゴシック体" w:eastAsia="ＤＦ特太ゴシック体" w:hAnsi="ＤＦ特太ゴシック体" w:cs="ＭＳ Ｐゴシック" w:hint="eastAsia"/>
                          <w:kern w:val="0"/>
                          <w:szCs w:val="21"/>
                          <w:u w:val="double"/>
                        </w:rPr>
                        <w:t>＊インフルエンザの出席停止期間の数え方</w:t>
                      </w:r>
                    </w:p>
                    <w:p w:rsidR="00D0104E" w:rsidRDefault="00D0104E" w:rsidP="00D0104E">
                      <w:pPr>
                        <w:rPr>
                          <w:rFonts w:ascii="HG丸ｺﾞｼｯｸM-PRO" w:eastAsia="HG丸ｺﾞｼｯｸM-PRO" w:hAnsi="HG丸ｺﾞｼｯｸM-PRO" w:cs="ＭＳ Ｐゴシック"/>
                          <w:kern w:val="0"/>
                          <w:szCs w:val="21"/>
                        </w:rPr>
                      </w:pPr>
                      <w:r w:rsidRPr="00B513DB">
                        <w:rPr>
                          <w:rFonts w:ascii="HG丸ｺﾞｼｯｸM-PRO" w:eastAsia="HG丸ｺﾞｼｯｸM-PRO" w:hAnsi="HG丸ｺﾞｼｯｸM-PRO" w:cs="ＭＳ Ｐゴシック" w:hint="eastAsia"/>
                          <w:kern w:val="0"/>
                          <w:szCs w:val="21"/>
                        </w:rPr>
                        <w:t>「発症した後5日を経過」については</w:t>
                      </w:r>
                      <w:r>
                        <w:rPr>
                          <w:rFonts w:ascii="HG丸ｺﾞｼｯｸM-PRO" w:eastAsia="HG丸ｺﾞｼｯｸM-PRO" w:hAnsi="HG丸ｺﾞｼｯｸM-PRO" w:cs="ＭＳ Ｐゴシック" w:hint="eastAsia"/>
                          <w:kern w:val="0"/>
                          <w:szCs w:val="21"/>
                        </w:rPr>
                        <w:t>，</w:t>
                      </w:r>
                      <w:r w:rsidRPr="00B513DB">
                        <w:rPr>
                          <w:rFonts w:ascii="HG丸ｺﾞｼｯｸM-PRO" w:eastAsia="HG丸ｺﾞｼｯｸM-PRO" w:hAnsi="HG丸ｺﾞｼｯｸM-PRO" w:cs="ＭＳ Ｐゴシック" w:hint="eastAsia"/>
                          <w:kern w:val="0"/>
                          <w:szCs w:val="21"/>
                        </w:rPr>
                        <w:t>症状が出た日を</w:t>
                      </w:r>
                      <w:r w:rsidR="00EC6F41">
                        <w:rPr>
                          <w:rFonts w:ascii="HG丸ｺﾞｼｯｸM-PRO" w:eastAsia="HG丸ｺﾞｼｯｸM-PRO" w:hAnsi="HG丸ｺﾞｼｯｸM-PRO" w:cs="ＭＳ Ｐゴシック" w:hint="eastAsia"/>
                          <w:kern w:val="0"/>
                          <w:szCs w:val="21"/>
                        </w:rPr>
                        <w:t>０</w:t>
                      </w:r>
                      <w:r w:rsidRPr="00B513DB">
                        <w:rPr>
                          <w:rFonts w:ascii="HG丸ｺﾞｼｯｸM-PRO" w:eastAsia="HG丸ｺﾞｼｯｸM-PRO" w:hAnsi="HG丸ｺﾞｼｯｸM-PRO" w:cs="ＭＳ Ｐゴシック" w:hint="eastAsia"/>
                          <w:kern w:val="0"/>
                          <w:szCs w:val="21"/>
                        </w:rPr>
                        <w:t>日目として数えます。</w:t>
                      </w:r>
                    </w:p>
                    <w:p w:rsidR="00D0104E" w:rsidRDefault="00D0104E" w:rsidP="00D0104E">
                      <w:pPr>
                        <w:jc w:val="center"/>
                        <w:rPr>
                          <w:rFonts w:hint="eastAsia"/>
                        </w:rPr>
                      </w:pPr>
                      <w:r>
                        <w:rPr>
                          <w:rFonts w:ascii="メイリオ" w:eastAsia="メイリオ" w:hAnsi="メイリオ"/>
                          <w:noProof/>
                        </w:rPr>
                        <w:drawing>
                          <wp:inline distT="0" distB="0" distL="0" distR="0" wp14:anchorId="2DC4542A" wp14:editId="5FDD9BAF">
                            <wp:extent cx="4532915" cy="2682979"/>
                            <wp:effectExtent l="0" t="0" r="1270" b="3175"/>
                            <wp:docPr id="12" name="図 12" descr="インフルエンザによる出席停止期間早見表（小学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インフルエンザによる出席停止期間早見表（小学生）"/>
                                    <pic:cNvPicPr>
                                      <a:picLocks noChangeAspect="1" noChangeArrowheads="1"/>
                                    </pic:cNvPicPr>
                                  </pic:nvPicPr>
                                  <pic:blipFill rotWithShape="1">
                                    <a:blip r:embed="rId7">
                                      <a:extLst>
                                        <a:ext uri="{28A0092B-C50C-407E-A947-70E740481C1C}">
                                          <a14:useLocalDpi xmlns:a14="http://schemas.microsoft.com/office/drawing/2010/main" val="0"/>
                                        </a:ext>
                                      </a:extLst>
                                    </a:blip>
                                    <a:srcRect t="10413"/>
                                    <a:stretch/>
                                  </pic:blipFill>
                                  <pic:spPr bwMode="auto">
                                    <a:xfrm>
                                      <a:off x="0" y="0"/>
                                      <a:ext cx="4547670" cy="269171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sidR="00C84C96" w:rsidRPr="00E702F1">
        <w:rPr>
          <w:rFonts w:ascii="ＤＦ特太ゴシック体" w:eastAsia="ＤＦ特太ゴシック体" w:hAnsi="ＤＦ特太ゴシック体" w:hint="eastAsia"/>
          <w:szCs w:val="21"/>
        </w:rPr>
        <w:t>■ 主な学校感染症</w:t>
      </w:r>
      <w:r w:rsidR="00C84C96">
        <w:rPr>
          <w:rFonts w:ascii="ＤＦ特太ゴシック体" w:eastAsia="ＤＦ特太ゴシック体" w:hAnsi="ＤＦ特太ゴシック体" w:hint="eastAsia"/>
          <w:szCs w:val="21"/>
        </w:rPr>
        <w:t xml:space="preserve">　</w:t>
      </w:r>
      <w:r w:rsidR="00C84C96" w:rsidRPr="00E702F1">
        <w:rPr>
          <w:rFonts w:ascii="ＤＦ特太ゴシック体" w:eastAsia="ＤＦ特太ゴシック体" w:hAnsi="ＤＦ特太ゴシック体" w:hint="eastAsia"/>
          <w:szCs w:val="21"/>
        </w:rPr>
        <w:t>■</w:t>
      </w:r>
    </w:p>
    <w:tbl>
      <w:tblPr>
        <w:tblStyle w:val="a3"/>
        <w:tblW w:w="0" w:type="auto"/>
        <w:tblLook w:val="04A0" w:firstRow="1" w:lastRow="0" w:firstColumn="1" w:lastColumn="0" w:noHBand="0" w:noVBand="1"/>
      </w:tblPr>
      <w:tblGrid>
        <w:gridCol w:w="426"/>
        <w:gridCol w:w="3579"/>
        <w:gridCol w:w="4715"/>
      </w:tblGrid>
      <w:tr w:rsidR="00C84C96" w:rsidTr="003864D5">
        <w:trPr>
          <w:trHeight w:val="187"/>
        </w:trPr>
        <w:tc>
          <w:tcPr>
            <w:tcW w:w="4005" w:type="dxa"/>
            <w:gridSpan w:val="2"/>
            <w:tcBorders>
              <w:top w:val="single" w:sz="12" w:space="0" w:color="auto"/>
              <w:left w:val="single" w:sz="12" w:space="0" w:color="auto"/>
              <w:bottom w:val="single" w:sz="12" w:space="0" w:color="auto"/>
            </w:tcBorders>
          </w:tcPr>
          <w:p w:rsidR="00C84C96" w:rsidRDefault="00C84C96" w:rsidP="00630D2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病　名</w:t>
            </w:r>
          </w:p>
        </w:tc>
        <w:tc>
          <w:tcPr>
            <w:tcW w:w="4715" w:type="dxa"/>
            <w:tcBorders>
              <w:top w:val="single" w:sz="12" w:space="0" w:color="auto"/>
              <w:bottom w:val="single" w:sz="12" w:space="0" w:color="auto"/>
              <w:right w:val="single" w:sz="12" w:space="0" w:color="auto"/>
            </w:tcBorders>
          </w:tcPr>
          <w:p w:rsidR="00C84C96" w:rsidRDefault="00C84C96" w:rsidP="00630D2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出席停止の基準</w:t>
            </w:r>
          </w:p>
        </w:tc>
      </w:tr>
      <w:tr w:rsidR="00C84C96" w:rsidTr="003864D5">
        <w:trPr>
          <w:trHeight w:val="705"/>
        </w:trPr>
        <w:tc>
          <w:tcPr>
            <w:tcW w:w="426" w:type="dxa"/>
            <w:tcBorders>
              <w:top w:val="single" w:sz="12" w:space="0" w:color="auto"/>
              <w:left w:val="single" w:sz="12" w:space="0" w:color="auto"/>
              <w:bottom w:val="single" w:sz="12" w:space="0" w:color="auto"/>
            </w:tcBorders>
          </w:tcPr>
          <w:p w:rsidR="00C84C96" w:rsidRDefault="00C84C96" w:rsidP="00630D2F">
            <w:pPr>
              <w:rPr>
                <w:rFonts w:ascii="HG丸ｺﾞｼｯｸM-PRO" w:eastAsia="HG丸ｺﾞｼｯｸM-PRO" w:hAnsi="HG丸ｺﾞｼｯｸM-PRO"/>
                <w:szCs w:val="21"/>
              </w:rPr>
            </w:pPr>
          </w:p>
          <w:p w:rsidR="00C84C96" w:rsidRDefault="00C84C96" w:rsidP="00630D2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第一種</w:t>
            </w:r>
          </w:p>
        </w:tc>
        <w:tc>
          <w:tcPr>
            <w:tcW w:w="3579" w:type="dxa"/>
            <w:tcBorders>
              <w:top w:val="single" w:sz="12" w:space="0" w:color="auto"/>
              <w:bottom w:val="single" w:sz="12" w:space="0" w:color="auto"/>
            </w:tcBorders>
          </w:tcPr>
          <w:p w:rsidR="00E44E2E" w:rsidRDefault="00C84C96" w:rsidP="00EC6F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エボラ出血熱，</w:t>
            </w:r>
            <w:r w:rsidR="00EC6F41">
              <w:rPr>
                <w:rFonts w:ascii="HG丸ｺﾞｼｯｸM-PRO" w:eastAsia="HG丸ｺﾞｼｯｸM-PRO" w:hAnsi="HG丸ｺﾞｼｯｸM-PRO" w:hint="eastAsia"/>
                <w:szCs w:val="21"/>
              </w:rPr>
              <w:t>ラッサ熱，</w:t>
            </w:r>
            <w:r w:rsidR="002F79A1">
              <w:rPr>
                <w:rFonts w:ascii="HG丸ｺﾞｼｯｸM-PRO" w:eastAsia="HG丸ｺﾞｼｯｸM-PRO" w:hAnsi="HG丸ｺﾞｼｯｸM-PRO" w:hint="eastAsia"/>
                <w:szCs w:val="21"/>
              </w:rPr>
              <w:t>ジフテリア，</w:t>
            </w:r>
            <w:r>
              <w:rPr>
                <w:rFonts w:ascii="HG丸ｺﾞｼｯｸM-PRO" w:eastAsia="HG丸ｺﾞｼｯｸM-PRO" w:hAnsi="HG丸ｺﾞｼｯｸM-PRO" w:hint="eastAsia"/>
                <w:szCs w:val="21"/>
              </w:rPr>
              <w:t>重症急性呼吸器症候群（ＳＡＲＳ），</w:t>
            </w:r>
            <w:r w:rsidR="002F79A1">
              <w:rPr>
                <w:rFonts w:ascii="HG丸ｺﾞｼｯｸM-PRO" w:eastAsia="HG丸ｺﾞｼｯｸM-PRO" w:hAnsi="HG丸ｺﾞｼｯｸM-PRO" w:hint="eastAsia"/>
                <w:szCs w:val="21"/>
              </w:rPr>
              <w:t>中東呼吸器症候群（ＭＥＲＳ）</w:t>
            </w:r>
            <w:r>
              <w:rPr>
                <w:rFonts w:ascii="HG丸ｺﾞｼｯｸM-PRO" w:eastAsia="HG丸ｺﾞｼｯｸM-PRO" w:hAnsi="HG丸ｺﾞｼｯｸM-PRO" w:hint="eastAsia"/>
                <w:szCs w:val="21"/>
              </w:rPr>
              <w:t>，鳥インフルエンザ（Ｈ５Ｎ１）</w:t>
            </w:r>
            <w:r w:rsidR="00E44E2E">
              <w:rPr>
                <w:rFonts w:ascii="HG丸ｺﾞｼｯｸM-PRO" w:eastAsia="HG丸ｺﾞｼｯｸM-PRO" w:hAnsi="HG丸ｺﾞｼｯｸM-PRO" w:hint="eastAsia"/>
                <w:szCs w:val="21"/>
              </w:rPr>
              <w:t>，新型コロナウイルス感染症</w:t>
            </w:r>
            <w:r w:rsidR="00EC6F41">
              <w:rPr>
                <w:rFonts w:ascii="HG丸ｺﾞｼｯｸM-PRO" w:eastAsia="HG丸ｺﾞｼｯｸM-PRO" w:hAnsi="HG丸ｺﾞｼｯｸM-PRO" w:hint="eastAsia"/>
                <w:szCs w:val="21"/>
              </w:rPr>
              <w:t xml:space="preserve">　等</w:t>
            </w:r>
          </w:p>
        </w:tc>
        <w:tc>
          <w:tcPr>
            <w:tcW w:w="4715" w:type="dxa"/>
            <w:tcBorders>
              <w:top w:val="single" w:sz="12" w:space="0" w:color="auto"/>
              <w:bottom w:val="single" w:sz="12" w:space="0" w:color="auto"/>
              <w:right w:val="single" w:sz="12" w:space="0" w:color="auto"/>
            </w:tcBorders>
          </w:tcPr>
          <w:p w:rsidR="00C84C96" w:rsidRDefault="00C84C96" w:rsidP="00630D2F">
            <w:pPr>
              <w:rPr>
                <w:rFonts w:ascii="HG丸ｺﾞｼｯｸM-PRO" w:eastAsia="HG丸ｺﾞｼｯｸM-PRO" w:hAnsi="HG丸ｺﾞｼｯｸM-PRO"/>
                <w:szCs w:val="21"/>
              </w:rPr>
            </w:pPr>
          </w:p>
          <w:p w:rsidR="00E44E2E" w:rsidRDefault="00E44E2E" w:rsidP="00630D2F">
            <w:pPr>
              <w:rPr>
                <w:rFonts w:ascii="HG丸ｺﾞｼｯｸM-PRO" w:eastAsia="HG丸ｺﾞｼｯｸM-PRO" w:hAnsi="HG丸ｺﾞｼｯｸM-PRO"/>
                <w:szCs w:val="21"/>
              </w:rPr>
            </w:pPr>
          </w:p>
          <w:p w:rsidR="00C84C96" w:rsidRDefault="00C84C96" w:rsidP="00630D2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治癒するまで</w:t>
            </w:r>
          </w:p>
        </w:tc>
      </w:tr>
      <w:tr w:rsidR="00C84C96" w:rsidTr="00EC6F41">
        <w:trPr>
          <w:trHeight w:val="614"/>
        </w:trPr>
        <w:tc>
          <w:tcPr>
            <w:tcW w:w="426" w:type="dxa"/>
            <w:vMerge w:val="restart"/>
            <w:tcBorders>
              <w:top w:val="single" w:sz="12" w:space="0" w:color="auto"/>
              <w:left w:val="single" w:sz="12" w:space="0" w:color="auto"/>
            </w:tcBorders>
          </w:tcPr>
          <w:p w:rsidR="00C84C96" w:rsidRDefault="00C84C96" w:rsidP="00630D2F">
            <w:pPr>
              <w:rPr>
                <w:rFonts w:ascii="HG丸ｺﾞｼｯｸM-PRO" w:eastAsia="HG丸ｺﾞｼｯｸM-PRO" w:hAnsi="HG丸ｺﾞｼｯｸM-PRO"/>
                <w:szCs w:val="21"/>
              </w:rPr>
            </w:pPr>
          </w:p>
          <w:p w:rsidR="00C84C96" w:rsidRDefault="00C84C96" w:rsidP="00630D2F">
            <w:pPr>
              <w:rPr>
                <w:rFonts w:ascii="HG丸ｺﾞｼｯｸM-PRO" w:eastAsia="HG丸ｺﾞｼｯｸM-PRO" w:hAnsi="HG丸ｺﾞｼｯｸM-PRO"/>
                <w:szCs w:val="21"/>
              </w:rPr>
            </w:pPr>
          </w:p>
          <w:p w:rsidR="00C84C96" w:rsidRDefault="00C84C96" w:rsidP="00630D2F">
            <w:pPr>
              <w:rPr>
                <w:rFonts w:ascii="HG丸ｺﾞｼｯｸM-PRO" w:eastAsia="HG丸ｺﾞｼｯｸM-PRO" w:hAnsi="HG丸ｺﾞｼｯｸM-PRO"/>
                <w:szCs w:val="21"/>
              </w:rPr>
            </w:pPr>
          </w:p>
          <w:p w:rsidR="00C84C96" w:rsidRDefault="00C84C96" w:rsidP="00630D2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第二種</w:t>
            </w:r>
          </w:p>
        </w:tc>
        <w:tc>
          <w:tcPr>
            <w:tcW w:w="3579" w:type="dxa"/>
            <w:tcBorders>
              <w:top w:val="single" w:sz="12" w:space="0" w:color="auto"/>
              <w:bottom w:val="dashed" w:sz="4" w:space="0" w:color="auto"/>
            </w:tcBorders>
          </w:tcPr>
          <w:p w:rsidR="00C84C96" w:rsidRDefault="00C84C96" w:rsidP="00EC6F41">
            <w:pPr>
              <w:rPr>
                <w:rFonts w:ascii="HG丸ｺﾞｼｯｸM-PRO" w:eastAsia="HG丸ｺﾞｼｯｸM-PRO" w:hAnsi="HG丸ｺﾞｼｯｸM-PRO"/>
                <w:szCs w:val="21"/>
              </w:rPr>
            </w:pPr>
            <w:r w:rsidRPr="00A95EFF">
              <w:rPr>
                <w:rFonts w:ascii="HG丸ｺﾞｼｯｸM-PRO" w:eastAsia="HG丸ｺﾞｼｯｸM-PRO" w:hAnsi="HG丸ｺﾞｼｯｸM-PRO" w:hint="eastAsia"/>
                <w:szCs w:val="21"/>
              </w:rPr>
              <w:t>インフルエンザ</w:t>
            </w:r>
          </w:p>
        </w:tc>
        <w:tc>
          <w:tcPr>
            <w:tcW w:w="4715" w:type="dxa"/>
            <w:tcBorders>
              <w:top w:val="single" w:sz="12" w:space="0" w:color="auto"/>
              <w:bottom w:val="dashed" w:sz="4" w:space="0" w:color="auto"/>
              <w:right w:val="single" w:sz="12" w:space="0" w:color="auto"/>
            </w:tcBorders>
          </w:tcPr>
          <w:p w:rsidR="00C84C96" w:rsidRDefault="00C84C96" w:rsidP="00630D2F">
            <w:pPr>
              <w:rPr>
                <w:rFonts w:ascii="HG丸ｺﾞｼｯｸM-PRO" w:eastAsia="HG丸ｺﾞｼｯｸM-PRO" w:hAnsi="HG丸ｺﾞｼｯｸM-PRO"/>
                <w:szCs w:val="21"/>
              </w:rPr>
            </w:pPr>
            <w:r w:rsidRPr="00627710">
              <w:rPr>
                <w:rFonts w:ascii="HG丸ｺﾞｼｯｸM-PRO" w:eastAsia="HG丸ｺﾞｼｯｸM-PRO" w:hAnsi="HG丸ｺﾞｼｯｸM-PRO" w:hint="eastAsia"/>
                <w:szCs w:val="21"/>
              </w:rPr>
              <w:t>発症した後5日を経過し</w:t>
            </w:r>
            <w:r>
              <w:rPr>
                <w:rFonts w:ascii="HG丸ｺﾞｼｯｸM-PRO" w:eastAsia="HG丸ｺﾞｼｯｸM-PRO" w:hAnsi="HG丸ｺﾞｼｯｸM-PRO" w:hint="eastAsia"/>
                <w:szCs w:val="21"/>
              </w:rPr>
              <w:t>，</w:t>
            </w:r>
            <w:r w:rsidRPr="00627710">
              <w:rPr>
                <w:rFonts w:ascii="HG丸ｺﾞｼｯｸM-PRO" w:eastAsia="HG丸ｺﾞｼｯｸM-PRO" w:hAnsi="HG丸ｺﾞｼｯｸM-PRO" w:hint="eastAsia"/>
                <w:szCs w:val="21"/>
              </w:rPr>
              <w:t>かつ</w:t>
            </w:r>
            <w:r>
              <w:rPr>
                <w:rFonts w:ascii="HG丸ｺﾞｼｯｸM-PRO" w:eastAsia="HG丸ｺﾞｼｯｸM-PRO" w:hAnsi="HG丸ｺﾞｼｯｸM-PRO" w:hint="eastAsia"/>
                <w:szCs w:val="21"/>
              </w:rPr>
              <w:t>，</w:t>
            </w:r>
            <w:r w:rsidRPr="00627710">
              <w:rPr>
                <w:rFonts w:ascii="HG丸ｺﾞｼｯｸM-PRO" w:eastAsia="HG丸ｺﾞｼｯｸM-PRO" w:hAnsi="HG丸ｺﾞｼｯｸM-PRO" w:hint="eastAsia"/>
                <w:szCs w:val="21"/>
              </w:rPr>
              <w:t>解熱した後2日を経過するまで</w:t>
            </w:r>
          </w:p>
        </w:tc>
      </w:tr>
      <w:tr w:rsidR="00C84C96" w:rsidTr="003864D5">
        <w:tc>
          <w:tcPr>
            <w:tcW w:w="426" w:type="dxa"/>
            <w:vMerge/>
            <w:tcBorders>
              <w:left w:val="single" w:sz="12" w:space="0" w:color="auto"/>
            </w:tcBorders>
          </w:tcPr>
          <w:p w:rsidR="00C84C96" w:rsidRDefault="00C84C96" w:rsidP="00630D2F">
            <w:pPr>
              <w:rPr>
                <w:rFonts w:ascii="HG丸ｺﾞｼｯｸM-PRO" w:eastAsia="HG丸ｺﾞｼｯｸM-PRO" w:hAnsi="HG丸ｺﾞｼｯｸM-PRO"/>
                <w:szCs w:val="21"/>
              </w:rPr>
            </w:pPr>
          </w:p>
        </w:tc>
        <w:tc>
          <w:tcPr>
            <w:tcW w:w="3579" w:type="dxa"/>
            <w:tcBorders>
              <w:top w:val="dashed" w:sz="4" w:space="0" w:color="auto"/>
              <w:bottom w:val="dashed" w:sz="4" w:space="0" w:color="auto"/>
            </w:tcBorders>
          </w:tcPr>
          <w:p w:rsidR="00C84C96" w:rsidRDefault="00C84C96" w:rsidP="00630D2F">
            <w:pPr>
              <w:rPr>
                <w:rFonts w:ascii="HG丸ｺﾞｼｯｸM-PRO" w:eastAsia="HG丸ｺﾞｼｯｸM-PRO" w:hAnsi="HG丸ｺﾞｼｯｸM-PRO"/>
                <w:szCs w:val="21"/>
              </w:rPr>
            </w:pPr>
            <w:r w:rsidRPr="00627710">
              <w:rPr>
                <w:rFonts w:ascii="HG丸ｺﾞｼｯｸM-PRO" w:eastAsia="HG丸ｺﾞｼｯｸM-PRO" w:hAnsi="HG丸ｺﾞｼｯｸM-PRO" w:hint="eastAsia"/>
                <w:szCs w:val="21"/>
              </w:rPr>
              <w:t>百日咳</w:t>
            </w:r>
          </w:p>
        </w:tc>
        <w:tc>
          <w:tcPr>
            <w:tcW w:w="4715" w:type="dxa"/>
            <w:tcBorders>
              <w:top w:val="dashed" w:sz="4" w:space="0" w:color="auto"/>
              <w:bottom w:val="dashed" w:sz="4" w:space="0" w:color="auto"/>
              <w:right w:val="single" w:sz="12" w:space="0" w:color="auto"/>
            </w:tcBorders>
          </w:tcPr>
          <w:p w:rsidR="00C84C96" w:rsidRDefault="00C84C96" w:rsidP="00630D2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特有の咳が消失するまで，</w:t>
            </w:r>
            <w:r w:rsidRPr="00627710">
              <w:rPr>
                <w:rFonts w:ascii="HG丸ｺﾞｼｯｸM-PRO" w:eastAsia="HG丸ｺﾞｼｯｸM-PRO" w:hAnsi="HG丸ｺﾞｼｯｸM-PRO" w:hint="eastAsia"/>
                <w:szCs w:val="21"/>
              </w:rPr>
              <w:t>または5日間の適正な抗菌性物質製剤による治療が終了するまで</w:t>
            </w:r>
          </w:p>
        </w:tc>
      </w:tr>
      <w:tr w:rsidR="00C84C96" w:rsidTr="003864D5">
        <w:tc>
          <w:tcPr>
            <w:tcW w:w="426" w:type="dxa"/>
            <w:vMerge/>
            <w:tcBorders>
              <w:left w:val="single" w:sz="12" w:space="0" w:color="auto"/>
            </w:tcBorders>
          </w:tcPr>
          <w:p w:rsidR="00C84C96" w:rsidRDefault="00C84C96" w:rsidP="00630D2F">
            <w:pPr>
              <w:rPr>
                <w:rFonts w:ascii="HG丸ｺﾞｼｯｸM-PRO" w:eastAsia="HG丸ｺﾞｼｯｸM-PRO" w:hAnsi="HG丸ｺﾞｼｯｸM-PRO"/>
                <w:szCs w:val="21"/>
              </w:rPr>
            </w:pPr>
          </w:p>
        </w:tc>
        <w:tc>
          <w:tcPr>
            <w:tcW w:w="3579" w:type="dxa"/>
            <w:tcBorders>
              <w:top w:val="dashed" w:sz="4" w:space="0" w:color="auto"/>
              <w:bottom w:val="dashed" w:sz="4" w:space="0" w:color="auto"/>
            </w:tcBorders>
          </w:tcPr>
          <w:p w:rsidR="00C84C96" w:rsidRDefault="00C84C96" w:rsidP="00630D2F">
            <w:pPr>
              <w:rPr>
                <w:rFonts w:ascii="HG丸ｺﾞｼｯｸM-PRO" w:eastAsia="HG丸ｺﾞｼｯｸM-PRO" w:hAnsi="HG丸ｺﾞｼｯｸM-PRO"/>
                <w:szCs w:val="21"/>
              </w:rPr>
            </w:pPr>
            <w:r w:rsidRPr="00627710">
              <w:rPr>
                <w:rFonts w:ascii="HG丸ｺﾞｼｯｸM-PRO" w:eastAsia="HG丸ｺﾞｼｯｸM-PRO" w:hAnsi="HG丸ｺﾞｼｯｸM-PRO" w:hint="eastAsia"/>
                <w:szCs w:val="21"/>
              </w:rPr>
              <w:t>麻しん</w:t>
            </w:r>
            <w:r>
              <w:rPr>
                <w:rFonts w:ascii="HG丸ｺﾞｼｯｸM-PRO" w:eastAsia="HG丸ｺﾞｼｯｸM-PRO" w:hAnsi="HG丸ｺﾞｼｯｸM-PRO" w:hint="eastAsia"/>
                <w:szCs w:val="21"/>
              </w:rPr>
              <w:t>（はしか）</w:t>
            </w:r>
          </w:p>
        </w:tc>
        <w:tc>
          <w:tcPr>
            <w:tcW w:w="4715" w:type="dxa"/>
            <w:tcBorders>
              <w:top w:val="dashed" w:sz="4" w:space="0" w:color="auto"/>
              <w:bottom w:val="dashed" w:sz="4" w:space="0" w:color="auto"/>
              <w:right w:val="single" w:sz="12" w:space="0" w:color="auto"/>
            </w:tcBorders>
          </w:tcPr>
          <w:p w:rsidR="00C84C96" w:rsidRDefault="00C84C96" w:rsidP="00630D2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解熱した後３</w:t>
            </w:r>
            <w:r w:rsidRPr="00627710">
              <w:rPr>
                <w:rFonts w:ascii="HG丸ｺﾞｼｯｸM-PRO" w:eastAsia="HG丸ｺﾞｼｯｸM-PRO" w:hAnsi="HG丸ｺﾞｼｯｸM-PRO" w:hint="eastAsia"/>
                <w:szCs w:val="21"/>
              </w:rPr>
              <w:t>日を経過するまで</w:t>
            </w:r>
          </w:p>
        </w:tc>
      </w:tr>
      <w:tr w:rsidR="00C84C96" w:rsidTr="003864D5">
        <w:trPr>
          <w:trHeight w:val="309"/>
        </w:trPr>
        <w:tc>
          <w:tcPr>
            <w:tcW w:w="426" w:type="dxa"/>
            <w:vMerge/>
            <w:tcBorders>
              <w:left w:val="single" w:sz="12" w:space="0" w:color="auto"/>
            </w:tcBorders>
          </w:tcPr>
          <w:p w:rsidR="00C84C96" w:rsidRDefault="00C84C96" w:rsidP="00630D2F">
            <w:pPr>
              <w:rPr>
                <w:rFonts w:ascii="HG丸ｺﾞｼｯｸM-PRO" w:eastAsia="HG丸ｺﾞｼｯｸM-PRO" w:hAnsi="HG丸ｺﾞｼｯｸM-PRO"/>
                <w:szCs w:val="21"/>
              </w:rPr>
            </w:pPr>
          </w:p>
        </w:tc>
        <w:tc>
          <w:tcPr>
            <w:tcW w:w="3579" w:type="dxa"/>
            <w:tcBorders>
              <w:top w:val="dashed" w:sz="4" w:space="0" w:color="auto"/>
              <w:bottom w:val="dashed" w:sz="4" w:space="0" w:color="auto"/>
            </w:tcBorders>
          </w:tcPr>
          <w:p w:rsidR="00C84C96" w:rsidRDefault="00C84C96" w:rsidP="00630D2F">
            <w:pPr>
              <w:rPr>
                <w:rFonts w:ascii="HG丸ｺﾞｼｯｸM-PRO" w:eastAsia="HG丸ｺﾞｼｯｸM-PRO" w:hAnsi="HG丸ｺﾞｼｯｸM-PRO"/>
                <w:szCs w:val="21"/>
              </w:rPr>
            </w:pPr>
            <w:r w:rsidRPr="00627710">
              <w:rPr>
                <w:rFonts w:ascii="HG丸ｺﾞｼｯｸM-PRO" w:eastAsia="HG丸ｺﾞｼｯｸM-PRO" w:hAnsi="HG丸ｺﾞｼｯｸM-PRO" w:hint="eastAsia"/>
                <w:szCs w:val="21"/>
              </w:rPr>
              <w:t>流行性耳下腺炎</w:t>
            </w:r>
            <w:r>
              <w:rPr>
                <w:rFonts w:ascii="HG丸ｺﾞｼｯｸM-PRO" w:eastAsia="HG丸ｺﾞｼｯｸM-PRO" w:hAnsi="HG丸ｺﾞｼｯｸM-PRO" w:hint="eastAsia"/>
                <w:szCs w:val="21"/>
              </w:rPr>
              <w:t>（おたふく）</w:t>
            </w:r>
          </w:p>
        </w:tc>
        <w:tc>
          <w:tcPr>
            <w:tcW w:w="4715" w:type="dxa"/>
            <w:tcBorders>
              <w:top w:val="dashed" w:sz="4" w:space="0" w:color="auto"/>
              <w:bottom w:val="dashed" w:sz="4" w:space="0" w:color="auto"/>
              <w:right w:val="single" w:sz="12" w:space="0" w:color="auto"/>
            </w:tcBorders>
          </w:tcPr>
          <w:p w:rsidR="00C84C96" w:rsidRDefault="00C84C96" w:rsidP="00630D2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耳下腺，顎下腺又は舌下腺の腫脹が発現した後</w:t>
            </w:r>
            <w:r w:rsidRPr="00627710">
              <w:rPr>
                <w:rFonts w:ascii="HG丸ｺﾞｼｯｸM-PRO" w:eastAsia="HG丸ｺﾞｼｯｸM-PRO" w:hAnsi="HG丸ｺﾞｼｯｸM-PRO" w:hint="eastAsia"/>
                <w:szCs w:val="21"/>
              </w:rPr>
              <w:t>5</w:t>
            </w:r>
            <w:r>
              <w:rPr>
                <w:rFonts w:ascii="HG丸ｺﾞｼｯｸM-PRO" w:eastAsia="HG丸ｺﾞｼｯｸM-PRO" w:hAnsi="HG丸ｺﾞｼｯｸM-PRO" w:hint="eastAsia"/>
                <w:szCs w:val="21"/>
              </w:rPr>
              <w:t>日を経過し，</w:t>
            </w:r>
            <w:r w:rsidRPr="00627710">
              <w:rPr>
                <w:rFonts w:ascii="HG丸ｺﾞｼｯｸM-PRO" w:eastAsia="HG丸ｺﾞｼｯｸM-PRO" w:hAnsi="HG丸ｺﾞｼｯｸM-PRO" w:hint="eastAsia"/>
                <w:szCs w:val="21"/>
              </w:rPr>
              <w:t>かつ</w:t>
            </w:r>
            <w:r>
              <w:rPr>
                <w:rFonts w:ascii="HG丸ｺﾞｼｯｸM-PRO" w:eastAsia="HG丸ｺﾞｼｯｸM-PRO" w:hAnsi="HG丸ｺﾞｼｯｸM-PRO" w:hint="eastAsia"/>
                <w:szCs w:val="21"/>
              </w:rPr>
              <w:t>，</w:t>
            </w:r>
            <w:r w:rsidRPr="00627710">
              <w:rPr>
                <w:rFonts w:ascii="HG丸ｺﾞｼｯｸM-PRO" w:eastAsia="HG丸ｺﾞｼｯｸM-PRO" w:hAnsi="HG丸ｺﾞｼｯｸM-PRO" w:hint="eastAsia"/>
                <w:szCs w:val="21"/>
              </w:rPr>
              <w:t>全身状態が良好になるまで</w:t>
            </w:r>
          </w:p>
        </w:tc>
      </w:tr>
      <w:tr w:rsidR="00C84C96" w:rsidTr="003864D5">
        <w:trPr>
          <w:trHeight w:val="270"/>
        </w:trPr>
        <w:tc>
          <w:tcPr>
            <w:tcW w:w="426" w:type="dxa"/>
            <w:vMerge/>
            <w:tcBorders>
              <w:left w:val="single" w:sz="12" w:space="0" w:color="auto"/>
            </w:tcBorders>
          </w:tcPr>
          <w:p w:rsidR="00C84C96" w:rsidRDefault="00C84C96" w:rsidP="00630D2F">
            <w:pPr>
              <w:rPr>
                <w:rFonts w:ascii="HG丸ｺﾞｼｯｸM-PRO" w:eastAsia="HG丸ｺﾞｼｯｸM-PRO" w:hAnsi="HG丸ｺﾞｼｯｸM-PRO"/>
                <w:szCs w:val="21"/>
              </w:rPr>
            </w:pPr>
          </w:p>
        </w:tc>
        <w:tc>
          <w:tcPr>
            <w:tcW w:w="3579" w:type="dxa"/>
            <w:tcBorders>
              <w:top w:val="dashed" w:sz="4" w:space="0" w:color="auto"/>
              <w:bottom w:val="dashed" w:sz="4" w:space="0" w:color="auto"/>
            </w:tcBorders>
          </w:tcPr>
          <w:p w:rsidR="00C84C96" w:rsidRDefault="00C84C96" w:rsidP="00630D2F">
            <w:pPr>
              <w:rPr>
                <w:rFonts w:ascii="HG丸ｺﾞｼｯｸM-PRO" w:eastAsia="HG丸ｺﾞｼｯｸM-PRO" w:hAnsi="HG丸ｺﾞｼｯｸM-PRO"/>
                <w:szCs w:val="21"/>
              </w:rPr>
            </w:pPr>
            <w:r w:rsidRPr="00627710">
              <w:rPr>
                <w:rFonts w:ascii="HG丸ｺﾞｼｯｸM-PRO" w:eastAsia="HG丸ｺﾞｼｯｸM-PRO" w:hAnsi="HG丸ｺﾞｼｯｸM-PRO" w:hint="eastAsia"/>
                <w:szCs w:val="21"/>
              </w:rPr>
              <w:t>風しん</w:t>
            </w:r>
          </w:p>
        </w:tc>
        <w:tc>
          <w:tcPr>
            <w:tcW w:w="4715" w:type="dxa"/>
            <w:tcBorders>
              <w:top w:val="dashed" w:sz="4" w:space="0" w:color="auto"/>
              <w:bottom w:val="dashed" w:sz="4" w:space="0" w:color="auto"/>
              <w:right w:val="single" w:sz="12" w:space="0" w:color="auto"/>
            </w:tcBorders>
          </w:tcPr>
          <w:p w:rsidR="00C84C96" w:rsidRDefault="00C84C96" w:rsidP="00630D2F">
            <w:pPr>
              <w:rPr>
                <w:rFonts w:ascii="HG丸ｺﾞｼｯｸM-PRO" w:eastAsia="HG丸ｺﾞｼｯｸM-PRO" w:hAnsi="HG丸ｺﾞｼｯｸM-PRO"/>
                <w:szCs w:val="21"/>
              </w:rPr>
            </w:pPr>
            <w:r w:rsidRPr="00627710">
              <w:rPr>
                <w:rFonts w:ascii="HG丸ｺﾞｼｯｸM-PRO" w:eastAsia="HG丸ｺﾞｼｯｸM-PRO" w:hAnsi="HG丸ｺﾞｼｯｸM-PRO" w:hint="eastAsia"/>
                <w:szCs w:val="21"/>
              </w:rPr>
              <w:t>発しんが消失するまで</w:t>
            </w:r>
          </w:p>
        </w:tc>
      </w:tr>
      <w:tr w:rsidR="00C84C96" w:rsidTr="003864D5">
        <w:trPr>
          <w:trHeight w:val="315"/>
        </w:trPr>
        <w:tc>
          <w:tcPr>
            <w:tcW w:w="426" w:type="dxa"/>
            <w:vMerge/>
            <w:tcBorders>
              <w:left w:val="single" w:sz="12" w:space="0" w:color="auto"/>
            </w:tcBorders>
          </w:tcPr>
          <w:p w:rsidR="00C84C96" w:rsidRDefault="00C84C96" w:rsidP="00630D2F">
            <w:pPr>
              <w:rPr>
                <w:rFonts w:ascii="HG丸ｺﾞｼｯｸM-PRO" w:eastAsia="HG丸ｺﾞｼｯｸM-PRO" w:hAnsi="HG丸ｺﾞｼｯｸM-PRO"/>
                <w:szCs w:val="21"/>
              </w:rPr>
            </w:pPr>
          </w:p>
        </w:tc>
        <w:tc>
          <w:tcPr>
            <w:tcW w:w="3579" w:type="dxa"/>
            <w:tcBorders>
              <w:top w:val="dashed" w:sz="4" w:space="0" w:color="auto"/>
              <w:bottom w:val="dashed" w:sz="4" w:space="0" w:color="auto"/>
            </w:tcBorders>
          </w:tcPr>
          <w:p w:rsidR="00C84C96" w:rsidRDefault="00C84C96" w:rsidP="00630D2F">
            <w:pPr>
              <w:rPr>
                <w:rFonts w:ascii="HG丸ｺﾞｼｯｸM-PRO" w:eastAsia="HG丸ｺﾞｼｯｸM-PRO" w:hAnsi="HG丸ｺﾞｼｯｸM-PRO"/>
                <w:szCs w:val="21"/>
              </w:rPr>
            </w:pPr>
            <w:r w:rsidRPr="00627710">
              <w:rPr>
                <w:rFonts w:ascii="HG丸ｺﾞｼｯｸM-PRO" w:eastAsia="HG丸ｺﾞｼｯｸM-PRO" w:hAnsi="HG丸ｺﾞｼｯｸM-PRO" w:hint="eastAsia"/>
                <w:szCs w:val="21"/>
              </w:rPr>
              <w:t>水痘</w:t>
            </w:r>
            <w:r>
              <w:rPr>
                <w:rFonts w:ascii="HG丸ｺﾞｼｯｸM-PRO" w:eastAsia="HG丸ｺﾞｼｯｸM-PRO" w:hAnsi="HG丸ｺﾞｼｯｸM-PRO" w:hint="eastAsia"/>
                <w:szCs w:val="21"/>
              </w:rPr>
              <w:t>（みずぼうそう）</w:t>
            </w:r>
          </w:p>
        </w:tc>
        <w:tc>
          <w:tcPr>
            <w:tcW w:w="4715" w:type="dxa"/>
            <w:tcBorders>
              <w:top w:val="dashed" w:sz="4" w:space="0" w:color="auto"/>
              <w:bottom w:val="dashed" w:sz="4" w:space="0" w:color="auto"/>
              <w:right w:val="single" w:sz="12" w:space="0" w:color="auto"/>
            </w:tcBorders>
          </w:tcPr>
          <w:p w:rsidR="00C84C96" w:rsidRDefault="00C84C96" w:rsidP="00630D2F">
            <w:pPr>
              <w:rPr>
                <w:rFonts w:ascii="HG丸ｺﾞｼｯｸM-PRO" w:eastAsia="HG丸ｺﾞｼｯｸM-PRO" w:hAnsi="HG丸ｺﾞｼｯｸM-PRO"/>
                <w:szCs w:val="21"/>
              </w:rPr>
            </w:pPr>
            <w:r w:rsidRPr="00627710">
              <w:rPr>
                <w:rFonts w:ascii="HG丸ｺﾞｼｯｸM-PRO" w:eastAsia="HG丸ｺﾞｼｯｸM-PRO" w:hAnsi="HG丸ｺﾞｼｯｸM-PRO" w:hint="eastAsia"/>
                <w:szCs w:val="21"/>
              </w:rPr>
              <w:t>すべての発しんが痂皮化するまで</w:t>
            </w:r>
          </w:p>
        </w:tc>
      </w:tr>
      <w:tr w:rsidR="00C84C96" w:rsidTr="003864D5">
        <w:trPr>
          <w:trHeight w:val="354"/>
        </w:trPr>
        <w:tc>
          <w:tcPr>
            <w:tcW w:w="426" w:type="dxa"/>
            <w:vMerge/>
            <w:tcBorders>
              <w:left w:val="single" w:sz="12" w:space="0" w:color="auto"/>
            </w:tcBorders>
          </w:tcPr>
          <w:p w:rsidR="00C84C96" w:rsidRDefault="00C84C96" w:rsidP="00630D2F">
            <w:pPr>
              <w:rPr>
                <w:rFonts w:ascii="HG丸ｺﾞｼｯｸM-PRO" w:eastAsia="HG丸ｺﾞｼｯｸM-PRO" w:hAnsi="HG丸ｺﾞｼｯｸM-PRO"/>
                <w:szCs w:val="21"/>
              </w:rPr>
            </w:pPr>
          </w:p>
        </w:tc>
        <w:tc>
          <w:tcPr>
            <w:tcW w:w="3579" w:type="dxa"/>
            <w:tcBorders>
              <w:top w:val="dashed" w:sz="4" w:space="0" w:color="auto"/>
              <w:bottom w:val="dashed" w:sz="4" w:space="0" w:color="auto"/>
            </w:tcBorders>
          </w:tcPr>
          <w:p w:rsidR="00C84C96" w:rsidRDefault="00C84C96" w:rsidP="00630D2F">
            <w:pPr>
              <w:rPr>
                <w:rFonts w:ascii="HG丸ｺﾞｼｯｸM-PRO" w:eastAsia="HG丸ｺﾞｼｯｸM-PRO" w:hAnsi="HG丸ｺﾞｼｯｸM-PRO"/>
                <w:szCs w:val="21"/>
              </w:rPr>
            </w:pPr>
            <w:r w:rsidRPr="00627710">
              <w:rPr>
                <w:rFonts w:ascii="HG丸ｺﾞｼｯｸM-PRO" w:eastAsia="HG丸ｺﾞｼｯｸM-PRO" w:hAnsi="HG丸ｺﾞｼｯｸM-PRO" w:hint="eastAsia"/>
                <w:szCs w:val="21"/>
              </w:rPr>
              <w:t>咽頭結膜熱</w:t>
            </w:r>
            <w:r>
              <w:rPr>
                <w:rFonts w:ascii="HG丸ｺﾞｼｯｸM-PRO" w:eastAsia="HG丸ｺﾞｼｯｸM-PRO" w:hAnsi="HG丸ｺﾞｼｯｸM-PRO" w:hint="eastAsia"/>
                <w:szCs w:val="21"/>
              </w:rPr>
              <w:t>（プール熱）</w:t>
            </w:r>
          </w:p>
        </w:tc>
        <w:tc>
          <w:tcPr>
            <w:tcW w:w="4715" w:type="dxa"/>
            <w:tcBorders>
              <w:top w:val="dashed" w:sz="4" w:space="0" w:color="auto"/>
              <w:bottom w:val="dashed" w:sz="4" w:space="0" w:color="auto"/>
              <w:right w:val="single" w:sz="12" w:space="0" w:color="auto"/>
            </w:tcBorders>
          </w:tcPr>
          <w:p w:rsidR="00C84C96" w:rsidRDefault="00C84C96" w:rsidP="00630D2F">
            <w:pPr>
              <w:rPr>
                <w:rFonts w:ascii="HG丸ｺﾞｼｯｸM-PRO" w:eastAsia="HG丸ｺﾞｼｯｸM-PRO" w:hAnsi="HG丸ｺﾞｼｯｸM-PRO"/>
                <w:szCs w:val="21"/>
              </w:rPr>
            </w:pPr>
            <w:r w:rsidRPr="00627710">
              <w:rPr>
                <w:rFonts w:ascii="HG丸ｺﾞｼｯｸM-PRO" w:eastAsia="HG丸ｺﾞｼｯｸM-PRO" w:hAnsi="HG丸ｺﾞｼｯｸM-PRO" w:hint="eastAsia"/>
                <w:szCs w:val="21"/>
              </w:rPr>
              <w:t>主要症状が消退した後</w:t>
            </w:r>
            <w:r>
              <w:rPr>
                <w:rFonts w:ascii="HG丸ｺﾞｼｯｸM-PRO" w:eastAsia="HG丸ｺﾞｼｯｸM-PRO" w:hAnsi="HG丸ｺﾞｼｯｸM-PRO" w:hint="eastAsia"/>
                <w:szCs w:val="21"/>
              </w:rPr>
              <w:t>２</w:t>
            </w:r>
            <w:r w:rsidRPr="00627710">
              <w:rPr>
                <w:rFonts w:ascii="HG丸ｺﾞｼｯｸM-PRO" w:eastAsia="HG丸ｺﾞｼｯｸM-PRO" w:hAnsi="HG丸ｺﾞｼｯｸM-PRO" w:hint="eastAsia"/>
                <w:szCs w:val="21"/>
              </w:rPr>
              <w:t>日を経過するまで</w:t>
            </w:r>
          </w:p>
        </w:tc>
      </w:tr>
      <w:tr w:rsidR="00C84C96" w:rsidTr="003864D5">
        <w:trPr>
          <w:trHeight w:val="603"/>
        </w:trPr>
        <w:tc>
          <w:tcPr>
            <w:tcW w:w="426" w:type="dxa"/>
            <w:vMerge/>
            <w:tcBorders>
              <w:left w:val="single" w:sz="12" w:space="0" w:color="auto"/>
              <w:bottom w:val="single" w:sz="12" w:space="0" w:color="auto"/>
            </w:tcBorders>
          </w:tcPr>
          <w:p w:rsidR="00C84C96" w:rsidRPr="00627710" w:rsidRDefault="00C84C96" w:rsidP="00630D2F">
            <w:pPr>
              <w:rPr>
                <w:rFonts w:ascii="HG丸ｺﾞｼｯｸM-PRO" w:eastAsia="HG丸ｺﾞｼｯｸM-PRO" w:hAnsi="HG丸ｺﾞｼｯｸM-PRO"/>
                <w:szCs w:val="21"/>
              </w:rPr>
            </w:pPr>
          </w:p>
        </w:tc>
        <w:tc>
          <w:tcPr>
            <w:tcW w:w="3579" w:type="dxa"/>
            <w:tcBorders>
              <w:top w:val="dashed" w:sz="4" w:space="0" w:color="auto"/>
              <w:bottom w:val="single" w:sz="12" w:space="0" w:color="auto"/>
            </w:tcBorders>
          </w:tcPr>
          <w:p w:rsidR="00C84C96" w:rsidRDefault="00C84C96" w:rsidP="00630D2F">
            <w:pPr>
              <w:rPr>
                <w:rFonts w:ascii="HG丸ｺﾞｼｯｸM-PRO" w:eastAsia="HG丸ｺﾞｼｯｸM-PRO" w:hAnsi="HG丸ｺﾞｼｯｸM-PRO"/>
                <w:szCs w:val="21"/>
              </w:rPr>
            </w:pPr>
            <w:r w:rsidRPr="00627710">
              <w:rPr>
                <w:rFonts w:ascii="HG丸ｺﾞｼｯｸM-PRO" w:eastAsia="HG丸ｺﾞｼｯｸM-PRO" w:hAnsi="HG丸ｺﾞｼｯｸM-PRO" w:hint="eastAsia"/>
                <w:szCs w:val="21"/>
              </w:rPr>
              <w:t>結核</w:t>
            </w:r>
          </w:p>
          <w:p w:rsidR="00C84C96" w:rsidRPr="00627710" w:rsidRDefault="00C84C96" w:rsidP="00630D2F">
            <w:pPr>
              <w:rPr>
                <w:rFonts w:ascii="HG丸ｺﾞｼｯｸM-PRO" w:eastAsia="HG丸ｺﾞｼｯｸM-PRO" w:hAnsi="HG丸ｺﾞｼｯｸM-PRO"/>
                <w:szCs w:val="21"/>
              </w:rPr>
            </w:pPr>
            <w:r w:rsidRPr="00627710">
              <w:rPr>
                <w:rFonts w:ascii="HG丸ｺﾞｼｯｸM-PRO" w:eastAsia="HG丸ｺﾞｼｯｸM-PRO" w:hAnsi="HG丸ｺﾞｼｯｸM-PRO" w:hint="eastAsia"/>
                <w:szCs w:val="21"/>
              </w:rPr>
              <w:t>髄膜炎菌性髄膜炎</w:t>
            </w:r>
          </w:p>
        </w:tc>
        <w:tc>
          <w:tcPr>
            <w:tcW w:w="4715" w:type="dxa"/>
            <w:tcBorders>
              <w:top w:val="dashed" w:sz="4" w:space="0" w:color="auto"/>
              <w:bottom w:val="single" w:sz="12" w:space="0" w:color="auto"/>
              <w:right w:val="single" w:sz="12" w:space="0" w:color="auto"/>
            </w:tcBorders>
          </w:tcPr>
          <w:p w:rsidR="00C84C96" w:rsidRPr="00627710" w:rsidRDefault="00C84C96" w:rsidP="00630D2F">
            <w:pPr>
              <w:rPr>
                <w:rFonts w:ascii="HG丸ｺﾞｼｯｸM-PRO" w:eastAsia="HG丸ｺﾞｼｯｸM-PRO" w:hAnsi="HG丸ｺﾞｼｯｸM-PRO"/>
                <w:szCs w:val="21"/>
              </w:rPr>
            </w:pPr>
            <w:r w:rsidRPr="00627710">
              <w:rPr>
                <w:rFonts w:ascii="HG丸ｺﾞｼｯｸM-PRO" w:eastAsia="HG丸ｺﾞｼｯｸM-PRO" w:hAnsi="HG丸ｺﾞｼｯｸM-PRO" w:hint="eastAsia"/>
                <w:szCs w:val="21"/>
              </w:rPr>
              <w:t>病状により学校医その他の医師において感染のおそれがないと認めるまで</w:t>
            </w:r>
          </w:p>
        </w:tc>
      </w:tr>
      <w:tr w:rsidR="003864D5" w:rsidTr="007E2E9F">
        <w:trPr>
          <w:trHeight w:val="1280"/>
        </w:trPr>
        <w:tc>
          <w:tcPr>
            <w:tcW w:w="426" w:type="dxa"/>
            <w:vMerge w:val="restart"/>
            <w:tcBorders>
              <w:top w:val="single" w:sz="12" w:space="0" w:color="auto"/>
              <w:left w:val="single" w:sz="12" w:space="0" w:color="auto"/>
            </w:tcBorders>
          </w:tcPr>
          <w:p w:rsidR="003864D5" w:rsidRDefault="003864D5" w:rsidP="00630D2F">
            <w:pPr>
              <w:rPr>
                <w:rFonts w:ascii="HG丸ｺﾞｼｯｸM-PRO" w:eastAsia="HG丸ｺﾞｼｯｸM-PRO" w:hAnsi="HG丸ｺﾞｼｯｸM-PRO"/>
                <w:szCs w:val="21"/>
              </w:rPr>
            </w:pPr>
          </w:p>
          <w:p w:rsidR="005E6BBE" w:rsidRDefault="005E6BBE" w:rsidP="00630D2F">
            <w:pPr>
              <w:rPr>
                <w:rFonts w:ascii="HG丸ｺﾞｼｯｸM-PRO" w:eastAsia="HG丸ｺﾞｼｯｸM-PRO" w:hAnsi="HG丸ｺﾞｼｯｸM-PRO"/>
                <w:szCs w:val="21"/>
              </w:rPr>
            </w:pPr>
          </w:p>
          <w:p w:rsidR="003864D5" w:rsidRPr="00627710" w:rsidRDefault="003864D5" w:rsidP="00630D2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第三種</w:t>
            </w:r>
          </w:p>
        </w:tc>
        <w:tc>
          <w:tcPr>
            <w:tcW w:w="3579" w:type="dxa"/>
            <w:tcBorders>
              <w:top w:val="single" w:sz="12" w:space="0" w:color="auto"/>
              <w:bottom w:val="dashed" w:sz="4" w:space="0" w:color="auto"/>
            </w:tcBorders>
          </w:tcPr>
          <w:p w:rsidR="003864D5" w:rsidRPr="00627710" w:rsidRDefault="003864D5" w:rsidP="00630D2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コレラ，細菌性赤痢，腸管出血性大腸菌感染症，腸チフス，パラチフス，流行性角結膜炎，急性出血性結膜炎，その他の感染症</w:t>
            </w:r>
          </w:p>
        </w:tc>
        <w:tc>
          <w:tcPr>
            <w:tcW w:w="4715" w:type="dxa"/>
            <w:vMerge w:val="restart"/>
            <w:tcBorders>
              <w:top w:val="single" w:sz="12" w:space="0" w:color="auto"/>
              <w:right w:val="single" w:sz="12" w:space="0" w:color="auto"/>
            </w:tcBorders>
          </w:tcPr>
          <w:p w:rsidR="003864D5" w:rsidRDefault="003864D5" w:rsidP="00630D2F">
            <w:pPr>
              <w:rPr>
                <w:rFonts w:ascii="HG丸ｺﾞｼｯｸM-PRO" w:eastAsia="HG丸ｺﾞｼｯｸM-PRO" w:hAnsi="HG丸ｺﾞｼｯｸM-PRO"/>
                <w:szCs w:val="21"/>
              </w:rPr>
            </w:pPr>
          </w:p>
          <w:p w:rsidR="003864D5" w:rsidRPr="00627710" w:rsidRDefault="003864D5" w:rsidP="00630D2F">
            <w:pPr>
              <w:rPr>
                <w:rFonts w:ascii="HG丸ｺﾞｼｯｸM-PRO" w:eastAsia="HG丸ｺﾞｼｯｸM-PRO" w:hAnsi="HG丸ｺﾞｼｯｸM-PRO"/>
                <w:szCs w:val="21"/>
              </w:rPr>
            </w:pPr>
            <w:r w:rsidRPr="00627710">
              <w:rPr>
                <w:rFonts w:ascii="HG丸ｺﾞｼｯｸM-PRO" w:eastAsia="HG丸ｺﾞｼｯｸM-PRO" w:hAnsi="HG丸ｺﾞｼｯｸM-PRO" w:hint="eastAsia"/>
                <w:szCs w:val="21"/>
              </w:rPr>
              <w:t>病状により学校医その他の医師において感染のおそれがないと認めるまで</w:t>
            </w:r>
          </w:p>
        </w:tc>
      </w:tr>
      <w:tr w:rsidR="003864D5" w:rsidTr="007E2E9F">
        <w:trPr>
          <w:trHeight w:val="992"/>
        </w:trPr>
        <w:tc>
          <w:tcPr>
            <w:tcW w:w="426" w:type="dxa"/>
            <w:vMerge/>
            <w:tcBorders>
              <w:left w:val="single" w:sz="12" w:space="0" w:color="auto"/>
              <w:bottom w:val="single" w:sz="12" w:space="0" w:color="auto"/>
            </w:tcBorders>
          </w:tcPr>
          <w:p w:rsidR="003864D5" w:rsidRDefault="003864D5" w:rsidP="00630D2F">
            <w:pPr>
              <w:rPr>
                <w:rFonts w:ascii="HG丸ｺﾞｼｯｸM-PRO" w:eastAsia="HG丸ｺﾞｼｯｸM-PRO" w:hAnsi="HG丸ｺﾞｼｯｸM-PRO"/>
                <w:szCs w:val="21"/>
              </w:rPr>
            </w:pPr>
          </w:p>
        </w:tc>
        <w:tc>
          <w:tcPr>
            <w:tcW w:w="3579" w:type="dxa"/>
            <w:tcBorders>
              <w:top w:val="dashed" w:sz="4" w:space="0" w:color="auto"/>
              <w:bottom w:val="single" w:sz="12" w:space="0" w:color="auto"/>
            </w:tcBorders>
          </w:tcPr>
          <w:p w:rsidR="003864D5" w:rsidRPr="00D4587D" w:rsidRDefault="003864D5" w:rsidP="00630D2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64D5">
              <w:rPr>
                <w:rFonts w:ascii="HG丸ｺﾞｼｯｸM-PRO" w:eastAsia="HG丸ｺﾞｼｯｸM-PRO" w:hAnsi="HG丸ｺﾞｼｯｸM-PRO" w:hint="eastAsia"/>
                <w:w w:val="80"/>
                <w:szCs w:val="21"/>
              </w:rPr>
              <w:t>その他の感染症として考えられる疾患</w:t>
            </w:r>
            <w:r>
              <w:rPr>
                <w:rFonts w:ascii="HG丸ｺﾞｼｯｸM-PRO" w:eastAsia="HG丸ｺﾞｼｯｸM-PRO" w:hAnsi="HG丸ｺﾞｼｯｸM-PRO" w:hint="eastAsia"/>
                <w:szCs w:val="21"/>
              </w:rPr>
              <w:t>】</w:t>
            </w:r>
          </w:p>
          <w:p w:rsidR="003864D5" w:rsidRDefault="003864D5" w:rsidP="003864D5">
            <w:pPr>
              <w:rPr>
                <w:rFonts w:ascii="HG丸ｺﾞｼｯｸM-PRO" w:eastAsia="HG丸ｺﾞｼｯｸM-PRO" w:hAnsi="HG丸ｺﾞｼｯｸM-PRO"/>
                <w:szCs w:val="21"/>
              </w:rPr>
            </w:pPr>
            <w:r w:rsidRPr="008B72E1">
              <w:rPr>
                <w:rFonts w:ascii="HG丸ｺﾞｼｯｸM-PRO" w:eastAsia="HG丸ｺﾞｼｯｸM-PRO" w:hAnsi="HG丸ｺﾞｼｯｸM-PRO" w:hint="eastAsia"/>
                <w:szCs w:val="21"/>
              </w:rPr>
              <w:t>マイコプラズマ感染症</w:t>
            </w:r>
            <w:r>
              <w:rPr>
                <w:rFonts w:ascii="HG丸ｺﾞｼｯｸM-PRO" w:eastAsia="HG丸ｺﾞｼｯｸM-PRO" w:hAnsi="HG丸ｺﾞｼｯｸM-PRO" w:hint="eastAsia"/>
                <w:szCs w:val="21"/>
              </w:rPr>
              <w:t>，手足口病　感染性胃腸炎，</w:t>
            </w:r>
            <w:r w:rsidRPr="008B72E1">
              <w:rPr>
                <w:rFonts w:ascii="HG丸ｺﾞｼｯｸM-PRO" w:eastAsia="HG丸ｺﾞｼｯｸM-PRO" w:hAnsi="HG丸ｺﾞｼｯｸM-PRO" w:hint="eastAsia"/>
                <w:szCs w:val="21"/>
              </w:rPr>
              <w:t>溶連菌感染症</w:t>
            </w:r>
            <w:r>
              <w:rPr>
                <w:rFonts w:ascii="HG丸ｺﾞｼｯｸM-PRO" w:eastAsia="HG丸ｺﾞｼｯｸM-PRO" w:hAnsi="HG丸ｺﾞｼｯｸM-PRO" w:hint="eastAsia"/>
                <w:szCs w:val="21"/>
              </w:rPr>
              <w:t xml:space="preserve">　　等</w:t>
            </w:r>
          </w:p>
        </w:tc>
        <w:tc>
          <w:tcPr>
            <w:tcW w:w="4715" w:type="dxa"/>
            <w:vMerge/>
            <w:tcBorders>
              <w:bottom w:val="single" w:sz="12" w:space="0" w:color="auto"/>
              <w:right w:val="single" w:sz="12" w:space="0" w:color="auto"/>
            </w:tcBorders>
          </w:tcPr>
          <w:p w:rsidR="003864D5" w:rsidRDefault="003864D5" w:rsidP="00630D2F">
            <w:pPr>
              <w:rPr>
                <w:rFonts w:ascii="HG丸ｺﾞｼｯｸM-PRO" w:eastAsia="HG丸ｺﾞｼｯｸM-PRO" w:hAnsi="HG丸ｺﾞｼｯｸM-PRO"/>
                <w:szCs w:val="21"/>
              </w:rPr>
            </w:pPr>
          </w:p>
        </w:tc>
      </w:tr>
    </w:tbl>
    <w:p w:rsidR="0003027B" w:rsidRDefault="0003027B">
      <w:pPr>
        <w:rPr>
          <w:rFonts w:ascii="HG丸ｺﾞｼｯｸM-PRO" w:eastAsia="HG丸ｺﾞｼｯｸM-PRO" w:hAnsi="HG丸ｺﾞｼｯｸM-PRO"/>
          <w:szCs w:val="21"/>
        </w:rPr>
      </w:pPr>
      <w:bookmarkStart w:id="0" w:name="_GoBack"/>
      <w:bookmarkEnd w:id="0"/>
    </w:p>
    <w:sectPr w:rsidR="0003027B" w:rsidSect="005E6BBE">
      <w:headerReference w:type="default" r:id="rId8"/>
      <w:pgSz w:w="11906" w:h="16838" w:code="9"/>
      <w:pgMar w:top="851" w:right="1531" w:bottom="680" w:left="153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D8E" w:rsidRDefault="00B16D8E" w:rsidP="004B7C91">
      <w:r>
        <w:separator/>
      </w:r>
    </w:p>
  </w:endnote>
  <w:endnote w:type="continuationSeparator" w:id="0">
    <w:p w:rsidR="00B16D8E" w:rsidRDefault="00B16D8E" w:rsidP="004B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D8E" w:rsidRDefault="00B16D8E" w:rsidP="004B7C91">
      <w:r>
        <w:separator/>
      </w:r>
    </w:p>
  </w:footnote>
  <w:footnote w:type="continuationSeparator" w:id="0">
    <w:p w:rsidR="00B16D8E" w:rsidRDefault="00B16D8E" w:rsidP="004B7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C8D" w:rsidRDefault="00080C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0B"/>
    <w:rsid w:val="0003027B"/>
    <w:rsid w:val="00080C8D"/>
    <w:rsid w:val="00087154"/>
    <w:rsid w:val="000A4856"/>
    <w:rsid w:val="000B75BC"/>
    <w:rsid w:val="000C6B63"/>
    <w:rsid w:val="000E1874"/>
    <w:rsid w:val="00105321"/>
    <w:rsid w:val="0015644F"/>
    <w:rsid w:val="0022031E"/>
    <w:rsid w:val="00236D08"/>
    <w:rsid w:val="00290692"/>
    <w:rsid w:val="002F79A1"/>
    <w:rsid w:val="0032584B"/>
    <w:rsid w:val="00364FBA"/>
    <w:rsid w:val="003864D5"/>
    <w:rsid w:val="003A2A01"/>
    <w:rsid w:val="003D7A6F"/>
    <w:rsid w:val="00427307"/>
    <w:rsid w:val="00433B11"/>
    <w:rsid w:val="00485C0B"/>
    <w:rsid w:val="004B7C91"/>
    <w:rsid w:val="004C2B83"/>
    <w:rsid w:val="004C4191"/>
    <w:rsid w:val="004D2403"/>
    <w:rsid w:val="005738FD"/>
    <w:rsid w:val="0058539B"/>
    <w:rsid w:val="005B0A6A"/>
    <w:rsid w:val="005E6BBE"/>
    <w:rsid w:val="00627208"/>
    <w:rsid w:val="00627710"/>
    <w:rsid w:val="006E43E7"/>
    <w:rsid w:val="006F1C51"/>
    <w:rsid w:val="00703C32"/>
    <w:rsid w:val="007702D6"/>
    <w:rsid w:val="007C3FDB"/>
    <w:rsid w:val="007C4DDD"/>
    <w:rsid w:val="007E2E9F"/>
    <w:rsid w:val="00817954"/>
    <w:rsid w:val="00832A53"/>
    <w:rsid w:val="008B561C"/>
    <w:rsid w:val="008B72E1"/>
    <w:rsid w:val="008C0E25"/>
    <w:rsid w:val="00937CDB"/>
    <w:rsid w:val="00990879"/>
    <w:rsid w:val="009B4B52"/>
    <w:rsid w:val="009C3EFD"/>
    <w:rsid w:val="00A258DA"/>
    <w:rsid w:val="00A90BB8"/>
    <w:rsid w:val="00A95EFF"/>
    <w:rsid w:val="00AC1267"/>
    <w:rsid w:val="00B16D8E"/>
    <w:rsid w:val="00B3546B"/>
    <w:rsid w:val="00B513DB"/>
    <w:rsid w:val="00B676A0"/>
    <w:rsid w:val="00BC3EA1"/>
    <w:rsid w:val="00C02596"/>
    <w:rsid w:val="00C030B0"/>
    <w:rsid w:val="00C30BF6"/>
    <w:rsid w:val="00C845D6"/>
    <w:rsid w:val="00C84C96"/>
    <w:rsid w:val="00C97036"/>
    <w:rsid w:val="00D0104E"/>
    <w:rsid w:val="00D4587D"/>
    <w:rsid w:val="00D64EEE"/>
    <w:rsid w:val="00DA4AC1"/>
    <w:rsid w:val="00DE5B9E"/>
    <w:rsid w:val="00DF16CF"/>
    <w:rsid w:val="00E44E2E"/>
    <w:rsid w:val="00E702F1"/>
    <w:rsid w:val="00EA70BE"/>
    <w:rsid w:val="00EC4BD0"/>
    <w:rsid w:val="00EC6F41"/>
    <w:rsid w:val="00ED32CC"/>
    <w:rsid w:val="00F5773A"/>
    <w:rsid w:val="00F82E47"/>
    <w:rsid w:val="00FA7CA4"/>
    <w:rsid w:val="00FF2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2641AF-434E-454A-8AD6-3E608D67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7C91"/>
    <w:pPr>
      <w:tabs>
        <w:tab w:val="center" w:pos="4252"/>
        <w:tab w:val="right" w:pos="8504"/>
      </w:tabs>
      <w:snapToGrid w:val="0"/>
    </w:pPr>
  </w:style>
  <w:style w:type="character" w:customStyle="1" w:styleId="a5">
    <w:name w:val="ヘッダー (文字)"/>
    <w:basedOn w:val="a0"/>
    <w:link w:val="a4"/>
    <w:uiPriority w:val="99"/>
    <w:rsid w:val="004B7C91"/>
  </w:style>
  <w:style w:type="paragraph" w:styleId="a6">
    <w:name w:val="footer"/>
    <w:basedOn w:val="a"/>
    <w:link w:val="a7"/>
    <w:uiPriority w:val="99"/>
    <w:unhideWhenUsed/>
    <w:rsid w:val="004B7C91"/>
    <w:pPr>
      <w:tabs>
        <w:tab w:val="center" w:pos="4252"/>
        <w:tab w:val="right" w:pos="8504"/>
      </w:tabs>
      <w:snapToGrid w:val="0"/>
    </w:pPr>
  </w:style>
  <w:style w:type="character" w:customStyle="1" w:styleId="a7">
    <w:name w:val="フッター (文字)"/>
    <w:basedOn w:val="a0"/>
    <w:link w:val="a6"/>
    <w:uiPriority w:val="99"/>
    <w:rsid w:val="004B7C91"/>
  </w:style>
  <w:style w:type="paragraph" w:styleId="a8">
    <w:name w:val="Balloon Text"/>
    <w:basedOn w:val="a"/>
    <w:link w:val="a9"/>
    <w:uiPriority w:val="99"/>
    <w:semiHidden/>
    <w:unhideWhenUsed/>
    <w:rsid w:val="00B513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13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takei</dc:creator>
  <cp:lastModifiedBy>宮城県</cp:lastModifiedBy>
  <cp:revision>3</cp:revision>
  <cp:lastPrinted>2020-09-25T08:52:00Z</cp:lastPrinted>
  <dcterms:created xsi:type="dcterms:W3CDTF">2020-09-25T10:46:00Z</dcterms:created>
  <dcterms:modified xsi:type="dcterms:W3CDTF">2020-09-25T10:47:00Z</dcterms:modified>
</cp:coreProperties>
</file>